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0529-8_4seq1.xml.htm"/>
      <w:bookmarkStart w:id="1" w:name="kstm26205298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Khindri Sanjeev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Development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84</w:t>
            </w:r>
            <w:r>
              <w:rPr>
                <w:rFonts w:ascii="Times;serif" w:hAnsi="Times;serif"/>
                <w:color w:val="008000"/>
                <w:position w:val="7"/>
                <w:sz w:val="16"/>
                <w:sz w:val="20"/>
                <w:shd w:fill="FFFFFF" w:val="clear"/>
              </w:rPr>
              <w:t>(2)</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71.39</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67,048</w:t>
            </w:r>
            <w:r>
              <w:rPr>
                <w:rFonts w:ascii="Times;serif" w:hAnsi="Times;serif"/>
                <w:color w:val="008000"/>
                <w:position w:val="7"/>
                <w:sz w:val="16"/>
                <w:sz w:val="20"/>
                <w:shd w:fill="FFFFFF" w:val="clear"/>
              </w:rPr>
              <w:t>(3)</w:t>
            </w:r>
            <w:r>
              <w:rPr/>
              <w:t xml:space="preserve"> </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1,101</w:t>
            </w:r>
            <w:r>
              <w:rPr>
                <w:rFonts w:ascii="Times;serif" w:hAnsi="Times;serif"/>
                <w:color w:val="008000"/>
                <w:position w:val="7"/>
                <w:sz w:val="16"/>
                <w:sz w:val="20"/>
                <w:shd w:fill="FFFFFF" w:val="clear"/>
              </w:rPr>
              <w:t>(2)</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71.52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65,947</w:t>
            </w:r>
            <w:r>
              <w:rPr>
                <w:rFonts w:ascii="Times;serif" w:hAnsi="Times;serif"/>
                <w:color w:val="008000"/>
                <w:position w:val="7"/>
                <w:sz w:val="16"/>
                <w:sz w:val="20"/>
                <w:shd w:fill="FFFFFF" w:val="clear"/>
              </w:rPr>
              <w:t>(3)</w:t>
            </w:r>
            <w:r>
              <w:rPr/>
              <w:t xml:space="preserve"> </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effected pursuant to a Rule 10b5-1 plan adopted by the Reporting Person on March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of common stock were sold to cover taxes associated with the settlement of restricted stock units ("RSUs") that were initially granted to the Reporting Person on February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25,432 unvested RSUs of the 36,992 RSUs granted to the Reporting Person on February 10, 2025 and (ii) 34,274 RSUs granted to the Reporting Person on January 16, 2026, none of which have vested as of the date of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Sanjeev Khindri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04932"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662</Words>
  <Characters>3541</Characters>
  <CharactersWithSpaces>4141</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