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16,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LIQUIDIA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8" w:lineRule="exact"/>
        <w:rPr>
          <w:sz w:val="24"/>
          <w:szCs w:val="24"/>
          <w:color w:val="auto"/>
        </w:rPr>
      </w:pPr>
    </w:p>
    <w:tbl>
      <w:tblPr>
        <w:tblLayout w:type="fixed"/>
        <w:tblInd w:w="980" w:type="dxa"/>
        <w:tblCellMar>
          <w:top w:w="0" w:type="dxa"/>
          <w:left w:w="0" w:type="dxa"/>
          <w:bottom w:w="0" w:type="dxa"/>
          <w:right w:w="0" w:type="dxa"/>
        </w:tblCellMar>
      </w:tblPr>
      <w:tr>
        <w:trPr>
          <w:trHeight w:val="220"/>
        </w:trPr>
        <w:tc>
          <w:tcPr>
            <w:tcW w:w="302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001-39724</w:t>
            </w:r>
          </w:p>
        </w:tc>
        <w:tc>
          <w:tcPr>
            <w:tcW w:w="26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85-1710962</w:t>
            </w:r>
          </w:p>
        </w:tc>
      </w:tr>
      <w:tr>
        <w:trPr>
          <w:trHeight w:val="216"/>
        </w:trPr>
        <w:tc>
          <w:tcPr>
            <w:tcW w:w="302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3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(Commission</w:t>
            </w:r>
          </w:p>
        </w:tc>
        <w:tc>
          <w:tcPr>
            <w:tcW w:w="26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2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rPr>
              <w:t>of incorporation)</w:t>
            </w:r>
          </w:p>
        </w:tc>
        <w:tc>
          <w:tcPr>
            <w:tcW w:w="3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File Number)</w:t>
            </w:r>
          </w:p>
        </w:tc>
        <w:tc>
          <w:tcPr>
            <w:tcW w:w="26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41"/>
        </w:trPr>
        <w:tc>
          <w:tcPr>
            <w:tcW w:w="6420" w:type="dxa"/>
            <w:vAlign w:val="bottom"/>
            <w:gridSpan w:val="2"/>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419 Davis Drive, Suite 100, Morrisville, North Carolina</w:t>
            </w:r>
          </w:p>
        </w:tc>
        <w:tc>
          <w:tcPr>
            <w:tcW w:w="26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27560</w:t>
            </w:r>
          </w:p>
        </w:tc>
      </w:tr>
      <w:tr>
        <w:trPr>
          <w:trHeight w:val="234"/>
        </w:trPr>
        <w:tc>
          <w:tcPr>
            <w:tcW w:w="6420" w:type="dxa"/>
            <w:vAlign w:val="bottom"/>
            <w:gridSpan w:val="2"/>
          </w:tcPr>
          <w:p>
            <w:pPr>
              <w:jc w:val="center"/>
              <w:ind w:right="8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60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(919) 328-4400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11"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9"/>
        </w:trPr>
        <w:tc>
          <w:tcPr>
            <w:tcW w:w="3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 stock</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LQDA</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16, 2026, Liquidia Corporation, a Delaware corporation (the “Company”) held its annual meeting of stockholders (the “Annual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 At the Annual Meeting, the following matters were submitted to a vote of stockholders:</w:t>
      </w:r>
    </w:p>
    <w:p>
      <w:pPr>
        <w:spacing w:after="0" w:line="207" w:lineRule="exact"/>
        <w:rPr>
          <w:sz w:val="20"/>
          <w:szCs w:val="20"/>
          <w:color w:val="auto"/>
        </w:rPr>
      </w:pPr>
    </w:p>
    <w:p>
      <w:pPr>
        <w:ind w:right="700" w:firstLine="656"/>
        <w:spacing w:after="0" w:line="282" w:lineRule="auto"/>
        <w:tabs>
          <w:tab w:leader="none" w:pos="8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three (3) Class II directors to serve until the Company’s 2029 Annual Meeting of Stockholders, or until their respective successors shall have been duly elected and qualified;</w:t>
      </w:r>
    </w:p>
    <w:p>
      <w:pPr>
        <w:spacing w:after="0" w:line="161" w:lineRule="exact"/>
        <w:rPr>
          <w:rFonts w:ascii="Times New Roman" w:cs="Times New Roman" w:eastAsia="Times New Roman" w:hAnsi="Times New Roman"/>
          <w:sz w:val="18"/>
          <w:szCs w:val="18"/>
          <w:color w:val="auto"/>
        </w:rPr>
      </w:pPr>
    </w:p>
    <w:p>
      <w:pPr>
        <w:ind w:right="280" w:firstLine="656"/>
        <w:spacing w:after="0" w:line="282" w:lineRule="auto"/>
        <w:tabs>
          <w:tab w:leader="none" w:pos="8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PricewaterhouseCoopers LLP as the Company’s independent registered public accounting firm for the year ending December 31, 2026; and</w:t>
      </w:r>
    </w:p>
    <w:p>
      <w:pPr>
        <w:spacing w:after="0" w:line="16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non-binding advisory vote, of the compensation of the Company’s named executive officers (the “NEOs”).</w:t>
      </w:r>
    </w:p>
    <w:p>
      <w:pPr>
        <w:spacing w:after="0" w:line="22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At the close of business on April 20, 2026, the record date for the determination of stockholders entitled to vote at the Annual Meeting, there were 88,893,621 shares of common stock outstanding and entitled to vote at the Annual Meeting. The holders of 67,479,187 shares of common stock were represented virtually or by proxy at the Annual Meeting, constituting a quorum.</w:t>
      </w:r>
    </w:p>
    <w:p>
      <w:pPr>
        <w:spacing w:after="0" w:line="17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At the Annual Meeting, the three Class II directors were elected, the appointment of the Company’s independent registered public accounting firm for the year ending December 31, 2026 was ratified and the compensation of the NEOs was approved by non-binding advisory vote.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Proposal No. 1 </w:t>
            </w:r>
            <w:r>
              <w:rPr>
                <w:rFonts w:ascii="Times New Roman" w:cs="Times New Roman" w:eastAsia="Times New Roman" w:hAnsi="Times New Roman"/>
                <w:sz w:val="18"/>
                <w:szCs w:val="18"/>
                <w:color w:val="auto"/>
              </w:rPr>
              <w:t>- Election of Class II Directors</w:t>
            </w: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3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 vote with respect to the election of Class II directors was as follows:</w:t>
            </w: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1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16"/>
        </w:trPr>
        <w:tc>
          <w:tcPr>
            <w:tcW w:w="11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Non-</w:t>
            </w:r>
          </w:p>
        </w:tc>
      </w:tr>
      <w:tr>
        <w:trPr>
          <w:trHeight w:val="238"/>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Nominees</w:t>
            </w:r>
          </w:p>
        </w:tc>
        <w:tc>
          <w:tcPr>
            <w:tcW w:w="17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6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w:t>
            </w:r>
          </w:p>
        </w:tc>
      </w:tr>
      <w:tr>
        <w:trPr>
          <w:trHeight w:val="209"/>
        </w:trPr>
        <w:tc>
          <w:tcPr>
            <w:tcW w:w="6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Katie Rielly-Gauvin</w:t>
            </w: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41,448,383</w:t>
            </w: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3,484,195</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22,546,609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Ramandeep Singh</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41,158,353</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3,774,225</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22,546,609</w:t>
            </w:r>
          </w:p>
        </w:tc>
      </w:tr>
      <w:tr>
        <w:trPr>
          <w:trHeight w:val="216"/>
        </w:trPr>
        <w:tc>
          <w:tcPr>
            <w:tcW w:w="6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Johnson</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44,874,399</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58,179</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22,546,609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No.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Ratification of the Appointment of Independent Registered Public Accounting Firm</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vote with respect to the ratification of the appointment of PricewaterhouseCoopers LLP as the Company’s independent registered public accounting firm for the year ending December 31, 2026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For</w:t>
            </w:r>
          </w:p>
        </w:tc>
        <w:tc>
          <w:tcPr>
            <w:tcW w:w="380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580" w:type="dxa"/>
            <w:vAlign w:val="bottom"/>
            <w:gridSpan w:val="2"/>
          </w:tcPr>
          <w:p>
            <w:pPr>
              <w:jc w:val="right"/>
              <w:ind w:right="154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0"/>
        </w:trPr>
        <w:tc>
          <w:tcPr>
            <w:tcW w:w="362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67,279,878</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183,739</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15,570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No.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Approval, by Non-Binding Advisory Vote, of the Compensation of the NEOs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vote with respect to the approval, by non-binding advisory vote, of the compensation of the NEOs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80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0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72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44,270,299</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612,749</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49,530</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22,546,609</w:t>
            </w:r>
          </w:p>
        </w:tc>
        <w:tc>
          <w:tcPr>
            <w:tcW w:w="100" w:type="dxa"/>
            <w:vAlign w:val="bottom"/>
            <w:tcBorders>
              <w:top w:val="single" w:sz="8" w:color="CCEEFF"/>
            </w:tcBorders>
            <w:shd w:val="clear" w:color="auto" w:fill="CCEEFF"/>
          </w:tcPr>
          <w:p>
            <w:pPr>
              <w:spacing w:after="0"/>
              <w:rPr>
                <w:sz w:val="18"/>
                <w:szCs w:val="18"/>
                <w:color w:val="auto"/>
              </w:rPr>
            </w:pPr>
          </w:p>
        </w:tc>
      </w:tr>
      <w:tr>
        <w:trPr>
          <w:trHeight w:val="675"/>
        </w:trPr>
        <w:tc>
          <w:tcPr>
            <w:tcW w:w="2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38"/>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20" w:type="dxa"/>
            <w:vAlign w:val="bottom"/>
          </w:tcPr>
          <w:p>
            <w:pPr>
              <w:spacing w:after="0"/>
              <w:rPr>
                <w:sz w:val="20"/>
                <w:szCs w:val="20"/>
                <w:color w:val="auto"/>
              </w:rPr>
            </w:pPr>
          </w:p>
        </w:tc>
        <w:tc>
          <w:tcPr>
            <w:tcW w:w="10100" w:type="dxa"/>
            <w:vAlign w:val="bottom"/>
            <w:tcBorders>
              <w:bottom w:val="single" w:sz="8" w:color="auto"/>
            </w:tcBorders>
          </w:tcPr>
          <w:p>
            <w:pPr>
              <w:ind w:left="476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2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9"/>
                <w:szCs w:val="19"/>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tags are embedded within the Inline XBRL document).</w:t>
            </w:r>
          </w:p>
        </w:tc>
      </w:tr>
      <w:tr>
        <w:trPr>
          <w:trHeight w:val="657"/>
        </w:trPr>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June 17, 2026</w:t>
      </w:r>
      <w:r>
        <w:rPr>
          <w:sz w:val="20"/>
          <w:szCs w:val="20"/>
          <w:color w:val="auto"/>
        </w:rPr>
        <w:tab/>
      </w:r>
      <w:r>
        <w:rPr>
          <w:rFonts w:ascii="Times New Roman" w:cs="Times New Roman" w:eastAsia="Times New Roman" w:hAnsi="Times New Roman"/>
          <w:sz w:val="17"/>
          <w:szCs w:val="17"/>
          <w:color w:val="auto"/>
        </w:rPr>
        <w:t>Liquidia Corporation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Michael Kaseta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Michael Kaseta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Financial Officer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2026-06-17T15:34:08Z</dcterms:created>
  <dcterms:modified xsi:type="dcterms:W3CDTF">2026-06-17T15:34:08Z</dcterms:modified>
</cp:coreProperties>
</file>