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277495</wp:posOffset>
            </wp:positionV>
            <wp:extent cx="714375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308610</wp:posOffset>
            </wp:positionV>
            <wp:extent cx="7143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 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LIQUIDIA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20955</wp:posOffset>
            </wp:positionV>
            <wp:extent cx="71437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278130</wp:posOffset>
            </wp:positionV>
            <wp:extent cx="71437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below per Exchange Act Rules 14a-6(i)(1) and 0-11.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7143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156845</wp:posOffset>
            </wp:positionV>
            <wp:extent cx="714375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572770</wp:posOffset>
            </wp:positionV>
            <wp:extent cx="71437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6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418465</wp:posOffset>
            </wp:positionV>
            <wp:extent cx="6774815" cy="8973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88900</wp:posOffset>
            </wp:positionV>
            <wp:extent cx="6774815" cy="8973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2026-04-24T16:18:52Z</dcterms:created>
  <dcterms:modified xsi:type="dcterms:W3CDTF">2026-04-24T16:18:52Z</dcterms:modified>
</cp:coreProperties>
</file>