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8"/>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JOHNSON DAVID EDWARD</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Liquidia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LQDA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8"/>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480" w:type="dxa"/>
            <w:vAlign w:val="bottom"/>
            <w:tcBorders>
              <w:bottom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80" w:type="dxa"/>
            <w:vAlign w:val="bottom"/>
            <w:gridSpan w:val="5"/>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8"/>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Director</w:t>
            </w:r>
          </w:p>
        </w:tc>
        <w:tc>
          <w:tcPr>
            <w:tcW w:w="260" w:type="dxa"/>
            <w:vAlign w:val="bottom"/>
          </w:tcPr>
          <w:p>
            <w:pPr>
              <w:spacing w:after="0"/>
              <w:rPr>
                <w:sz w:val="5"/>
                <w:szCs w:val="5"/>
                <w:color w:val="auto"/>
              </w:rPr>
            </w:pPr>
          </w:p>
        </w:tc>
        <w:tc>
          <w:tcPr>
            <w:tcW w:w="1580" w:type="dxa"/>
            <w:vAlign w:val="bottom"/>
            <w:gridSpan w:val="5"/>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5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vMerge w:val="restart"/>
          </w:tcPr>
          <w:p>
            <w:pPr>
              <w:spacing w:after="0"/>
              <w:rPr>
                <w:sz w:val="9"/>
                <w:szCs w:val="9"/>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9"/>
                <w:szCs w:val="9"/>
                <w:color w:val="auto"/>
              </w:rPr>
            </w:pPr>
          </w:p>
        </w:tc>
        <w:tc>
          <w:tcPr>
            <w:tcW w:w="1580" w:type="dxa"/>
            <w:vAlign w:val="bottom"/>
            <w:gridSpan w:val="5"/>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3"/>
                <w:szCs w:val="13"/>
                <w:color w:val="auto"/>
              </w:rPr>
              <w:t>below)</w:t>
            </w:r>
          </w:p>
        </w:tc>
        <w:tc>
          <w:tcPr>
            <w:tcW w:w="260" w:type="dxa"/>
            <w:vAlign w:val="bottom"/>
          </w:tcPr>
          <w:p>
            <w:pPr>
              <w:spacing w:after="0"/>
              <w:rPr>
                <w:sz w:val="16"/>
                <w:szCs w:val="16"/>
                <w:color w:val="auto"/>
              </w:rPr>
            </w:pPr>
          </w:p>
        </w:tc>
        <w:tc>
          <w:tcPr>
            <w:tcW w:w="80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780 THIRD AVENUE</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60" w:type="dxa"/>
            <w:vAlign w:val="bottom"/>
            <w:gridSpan w:val="9"/>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6"/>
                <w:szCs w:val="6"/>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continue"/>
          </w:tcPr>
          <w:p>
            <w:pPr>
              <w:spacing w:after="0"/>
              <w:rPr>
                <w:sz w:val="9"/>
                <w:szCs w:val="9"/>
                <w:color w:val="auto"/>
              </w:rPr>
            </w:pPr>
          </w:p>
        </w:tc>
        <w:tc>
          <w:tcPr>
            <w:tcW w:w="320" w:type="dxa"/>
            <w:vAlign w:val="bottom"/>
          </w:tcPr>
          <w:p>
            <w:pPr>
              <w:spacing w:after="0"/>
              <w:rPr>
                <w:sz w:val="9"/>
                <w:szCs w:val="9"/>
                <w:color w:val="auto"/>
              </w:rPr>
            </w:pPr>
          </w:p>
        </w:tc>
        <w:tc>
          <w:tcPr>
            <w:tcW w:w="342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vMerge w:val="restart"/>
          </w:tcPr>
          <w:p>
            <w:pPr>
              <w:spacing w:after="0"/>
              <w:rPr>
                <w:sz w:val="3"/>
                <w:szCs w:val="3"/>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980" w:type="dxa"/>
            <w:vAlign w:val="bottom"/>
            <w:gridSpan w:val="4"/>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8"/>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7"/>
                <w:szCs w:val="17"/>
                <w:color w:val="0000FF"/>
              </w:rPr>
              <w:t>NY</w:t>
            </w:r>
          </w:p>
        </w:tc>
        <w:tc>
          <w:tcPr>
            <w:tcW w:w="134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7"/>
                <w:szCs w:val="17"/>
                <w:color w:val="0000FF"/>
              </w:rPr>
              <w:t>10017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gridSpan w:val="8"/>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gridSpan w:val="3"/>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400" w:type="dxa"/>
            <w:vAlign w:val="bottom"/>
            <w:tcBorders>
              <w:top w:val="single" w:sz="8" w:color="2C2C2C"/>
            </w:tcBorders>
            <w:gridSpan w:val="23"/>
          </w:tcPr>
          <w:p>
            <w:pPr>
              <w:ind w:left="3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5"/>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5"/>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520" w:type="dxa"/>
            <w:vAlign w:val="bottom"/>
            <w:gridSpan w:val="6"/>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06/16/2026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5,882</w:t>
            </w:r>
            <w:r>
              <w:rPr>
                <w:rFonts w:ascii="Times New Roman" w:cs="Times New Roman" w:eastAsia="Times New Roman" w:hAnsi="Times New Roman"/>
                <w:sz w:val="22"/>
                <w:szCs w:val="22"/>
                <w:color w:val="008000"/>
                <w:vertAlign w:val="superscript"/>
              </w:rPr>
              <w:t>(2)</w:t>
            </w: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gridSpan w:val="2"/>
            <w:vMerge w:val="restart"/>
          </w:tcPr>
          <w:p>
            <w:pPr>
              <w:ind w:left="3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130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7"/>
                <w:szCs w:val="17"/>
                <w:color w:val="0000FF"/>
              </w:rPr>
              <w:t>5,882</w:t>
            </w:r>
          </w:p>
        </w:tc>
        <w:tc>
          <w:tcPr>
            <w:tcW w:w="260" w:type="dxa"/>
            <w:vAlign w:val="bottom"/>
          </w:tcPr>
          <w:p>
            <w:pPr>
              <w:spacing w:after="0"/>
              <w:rPr>
                <w:sz w:val="21"/>
                <w:szCs w:val="21"/>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(3)</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280" w:type="dxa"/>
            <w:vAlign w:val="bottom"/>
          </w:tcPr>
          <w:p>
            <w:pPr>
              <w:spacing w:after="0"/>
              <w:rPr>
                <w:sz w:val="15"/>
                <w:szCs w:val="15"/>
                <w:color w:val="auto"/>
              </w:rPr>
            </w:pPr>
          </w:p>
        </w:tc>
        <w:tc>
          <w:tcPr>
            <w:tcW w:w="1520" w:type="dxa"/>
            <w:vAlign w:val="bottom"/>
            <w:gridSpan w:val="6"/>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40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8,157,347</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20" w:type="dxa"/>
            <w:vAlign w:val="bottom"/>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60" w:type="dxa"/>
            <w:vAlign w:val="bottom"/>
            <w:gridSpan w:val="17"/>
          </w:tcPr>
          <w:p>
            <w:pPr>
              <w:ind w:left="3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8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4"/>
          </w:tcPr>
          <w:p>
            <w:pPr>
              <w:spacing w:after="0"/>
              <w:rPr>
                <w:sz w:val="7"/>
                <w:szCs w:val="7"/>
                <w:color w:val="auto"/>
              </w:rPr>
            </w:pPr>
          </w:p>
        </w:tc>
        <w:tc>
          <w:tcPr>
            <w:tcW w:w="86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80" w:type="dxa"/>
            <w:vAlign w:val="bottom"/>
            <w:tcBorders>
              <w:top w:val="single" w:sz="8" w:color="2C2C2C"/>
            </w:tcBorders>
            <w:gridSpan w:val="7"/>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9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8"/>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JOHNSON DAVID EDWARD</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780 THIRD AVENUE</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28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10017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4"/>
          </w:tcPr>
          <w:p>
            <w:pPr>
              <w:spacing w:after="0"/>
              <w:rPr>
                <w:sz w:val="7"/>
                <w:szCs w:val="7"/>
                <w:color w:val="auto"/>
              </w:rPr>
            </w:pPr>
          </w:p>
        </w:tc>
        <w:tc>
          <w:tcPr>
            <w:tcW w:w="86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Caligan Partners LP</w:t>
              </w:r>
            </w:hyperlink>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780 THIRD AVENUE</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30TH FLOOR</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NEW YORK</w:t>
      </w:r>
      <w:r>
        <w:rPr>
          <w:sz w:val="20"/>
          <w:szCs w:val="20"/>
          <w:color w:val="auto"/>
        </w:rPr>
        <w:tab/>
      </w:r>
      <w:r>
        <w:rPr>
          <w:rFonts w:ascii="Times New Roman" w:cs="Times New Roman" w:eastAsia="Times New Roman" w:hAnsi="Times New Roman"/>
          <w:sz w:val="17"/>
          <w:szCs w:val="17"/>
          <w:color w:val="0000FF"/>
        </w:rPr>
        <w:t>NY</w:t>
      </w:r>
      <w:r>
        <w:rPr>
          <w:sz w:val="20"/>
          <w:szCs w:val="20"/>
          <w:color w:val="auto"/>
        </w:rPr>
        <w:tab/>
      </w:r>
      <w:r>
        <w:rPr>
          <w:rFonts w:ascii="Times New Roman" w:cs="Times New Roman" w:eastAsia="Times New Roman" w:hAnsi="Times New Roman"/>
          <w:sz w:val="17"/>
          <w:szCs w:val="17"/>
          <w:color w:val="0000FF"/>
        </w:rPr>
        <w:t>10017</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070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207010"/>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convert into Common Stock on a one-for-one basis.</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shall vest upon the earlier of (i) the one-year anniversary of the date of grant or (ii) the day prior to the Issuer's next annual shareholder meeting following the date of grant.</w:t>
      </w:r>
    </w:p>
    <w:p>
      <w:pPr>
        <w:spacing w:after="0" w:line="50" w:lineRule="exact"/>
        <w:rPr>
          <w:rFonts w:ascii="Times New Roman" w:cs="Times New Roman" w:eastAsia="Times New Roman" w:hAnsi="Times New Roman"/>
          <w:sz w:val="13"/>
          <w:szCs w:val="13"/>
          <w:color w:val="008000"/>
        </w:rPr>
      </w:pPr>
    </w:p>
    <w:p>
      <w:pPr>
        <w:jc w:val="both"/>
        <w:ind w:right="6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David Johnson ("Mr. Johnson") is deemed to hold the securities reported herein for the benefit of certain funds (the "Caligan Funds") and managed accounts (the "Caligan Accounts", and together with the Caligan Funds, the "Caligan Funds and Accounts") to which Caligan Partners LP ("Caligan") serves as investment manager, and may, after vesting, if applicable, transfer the securities directly to such Caligan Funds and Accounts.</w:t>
      </w:r>
    </w:p>
    <w:p>
      <w:pPr>
        <w:spacing w:after="0" w:line="20" w:lineRule="exact"/>
        <w:rPr>
          <w:rFonts w:ascii="Times New Roman" w:cs="Times New Roman" w:eastAsia="Times New Roman" w:hAnsi="Times New Roman"/>
          <w:sz w:val="13"/>
          <w:szCs w:val="13"/>
          <w:color w:val="008000"/>
        </w:rPr>
      </w:pPr>
    </w:p>
    <w:p>
      <w:pPr>
        <w:ind w:right="16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held by the Caligan Funds and Accounts to which Caligan serves as investment manager and related entities. Mr. Johnson (together with Caligan, the "Reporting Persons") is the Managing Partner of Caligan and a Managing Member of Caligan Partners GP LLC, the general partner of Caligan.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3"/>
          <w:szCs w:val="13"/>
          <w:color w:val="008000"/>
        </w:rPr>
        <w:t>Each Reporting Person disclaims beneficial ownership in the securities reported on this Form 4 except to the extent of its or his pecuniary interest, if any, therein, and this report shall not be deemed to be an admission that such Reporting Person is the beneficial owner of such securities for purposes of Section 16 or for any other purpose. Caligan may be deemed to be a director by deputization of the Issuer by virtue of the fact that Mr. Johnson currently serves on the Issuer's board of directors.</w:t>
      </w:r>
    </w:p>
    <w:p>
      <w:pPr>
        <w:spacing w:after="0" w:line="37"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Caligan Partners LP, By: /s/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3"/>
        </w:trPr>
        <w:tc>
          <w:tcPr>
            <w:tcW w:w="1840" w:type="dxa"/>
            <w:vAlign w:val="bottom"/>
            <w:tcBorders>
              <w:top w:val="single" w:sz="8" w:color="auto"/>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David Johnson, Managing</w:t>
            </w:r>
          </w:p>
        </w:tc>
        <w:tc>
          <w:tcPr>
            <w:tcW w:w="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rPr>
              <w:t>06/18/2026</w:t>
            </w:r>
          </w:p>
        </w:tc>
      </w:tr>
      <w:tr>
        <w:trPr>
          <w:trHeight w:val="193"/>
        </w:trPr>
        <w:tc>
          <w:tcPr>
            <w:tcW w:w="2080" w:type="dxa"/>
            <w:vAlign w:val="bottom"/>
            <w:gridSpan w:val="4"/>
          </w:tcPr>
          <w:p>
            <w:pPr>
              <w:spacing w:after="0" w:line="194" w:lineRule="exact"/>
              <w:rPr>
                <w:sz w:val="20"/>
                <w:szCs w:val="20"/>
                <w:color w:val="auto"/>
              </w:rPr>
            </w:pPr>
            <w:r>
              <w:rPr>
                <w:rFonts w:ascii="Times New Roman" w:cs="Times New Roman" w:eastAsia="Times New Roman" w:hAnsi="Times New Roman"/>
                <w:sz w:val="17"/>
                <w:szCs w:val="17"/>
                <w:color w:val="0000FF"/>
              </w:rPr>
              <w:t>Partner</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1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David Edward Johnson</w:t>
            </w:r>
          </w:p>
        </w:tc>
        <w:tc>
          <w:tcPr>
            <w:tcW w:w="24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06/18/2026</w:t>
            </w:r>
          </w:p>
        </w:tc>
      </w:tr>
      <w:tr>
        <w:trPr>
          <w:trHeight w:val="235"/>
        </w:trPr>
        <w:tc>
          <w:tcPr>
            <w:tcW w:w="208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6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3" Type="http://schemas.openxmlformats.org/officeDocument/2006/relationships/hyperlink" Target="http://www.sec.gov/cgi-bin/browse-edgar?action=getcompany&amp;CIK=0001785557" TargetMode="External"/><Relationship Id="rId14" Type="http://schemas.openxmlformats.org/officeDocument/2006/relationships/hyperlink" Target="http://www.sec.gov/cgi-bin/browse-edgar?action=getcompany&amp;CIK=0001819576" TargetMode="External"/><Relationship Id="rId15" Type="http://schemas.openxmlformats.org/officeDocument/2006/relationships/hyperlink" Target="http://www.sec.gov/cgi-bin/browse-edgar?action=getcompany&amp;CIK=00017274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2026-06-18T16:46:00Z</dcterms:created>
  <dcterms:modified xsi:type="dcterms:W3CDTF">2026-06-18T16:46:00Z</dcterms:modified>
</cp:coreProperties>
</file>