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151-1_4seq1.xml.htm"/>
      <w:bookmarkStart w:id="1" w:name="kstm262715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Bloch Stephen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8"/>
        <w:gridCol w:w="911"/>
        <w:gridCol w:w="782"/>
        <w:gridCol w:w="605"/>
        <w:gridCol w:w="339"/>
        <w:gridCol w:w="1001"/>
        <w:gridCol w:w="421"/>
        <w:gridCol w:w="983"/>
        <w:gridCol w:w="1148"/>
        <w:gridCol w:w="962"/>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235,477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27.1262</w:t>
            </w:r>
            <w:r>
              <w:rPr>
                <w:rFonts w:ascii="Times;serif" w:hAnsi="Times;serif"/>
                <w:color w:val="008000"/>
                <w:position w:val="7"/>
                <w:sz w:val="16"/>
                <w:sz w:val="20"/>
                <w:shd w:fill="FFFFFF" w:val="clear"/>
              </w:rPr>
              <w:t>(1)</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0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104,570</w:t>
            </w:r>
            <w:r>
              <w:rPr>
                <w:rFonts w:ascii="Times;serif" w:hAnsi="Times;serif"/>
                <w:color w:val="008000"/>
                <w:position w:val="7"/>
                <w:sz w:val="16"/>
                <w:sz w:val="20"/>
                <w:shd w:fill="FFFFFF" w:val="clear"/>
              </w:rPr>
              <w:t>(4)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$26.745 to $27.59,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held directly by Canaan VIII L.P. ("Canaan LP"). The amount reported reflects a reduction for shares previously distributed, for no consideration, by Canaan LP to its general partner, Canaan Partners VIII LLC ("Canaan LLC" and together with Canaan LP, the "Canaan Entities"), and subsequently distributed by Canaan LLC pro rata to its members, including the Reporting Person. Such distributions were made in accordance with the exemptions afforded by Rule 16a-9 and Rule 16a-13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Canaan LLC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32,976 shares received in the distribution described in footnote (2)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Stephen M. Bloch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30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4500</Characters>
  <CharactersWithSpaces>5260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