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7863-3_4seq1.xml.htm"/>
      <w:bookmarkStart w:id="1" w:name="kstm267863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Kaseta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CFO and COO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2,344</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413,020</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1,165</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30.58</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411,855</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16, 2022, the Reporting Person was granted 37,500 RSUs with 25% of the RSUs vesting on February 28, 2023 and the remaining RSUs vesting ratably on a quarterly basis over three years thereafter. Of those RSUs, a total of 37,500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31,167 unvested RSUs of the 124,667 RSUs granted to the Reporting Person on January 11, 2023, (ii) 46,625 unvested RSUs and 25,000 unvested RSUs of the 93,250 RSUs and 50,000 RSUs granted to the Reporting Person on January 11, 2024 and January 15, 2024, respectively, (iii) 84,597 unvested RSUs of the 112,797 RSUs granted to the Reporting Person on January 11, 2025, (iv) 59,320 RSUs granted to the Reporting Person on January 16, 2026, none of which have vested as of the date of this Form 4 and (v) 11,694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sold to cover taxes associated with the settlement of RSUs that were initially granted to the Reporting Person on January 16,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Kaseta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4346"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4178</Characters>
  <CharactersWithSpaces>4902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